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Nº 07/2024 - GEPPEX/IFG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ANEXO XIII</w:t>
      </w:r>
    </w:p>
    <w:p w:rsidR="00000000" w:rsidDel="00000000" w:rsidP="00000000" w:rsidRDefault="00000000" w:rsidRPr="00000000" w14:paraId="00000003">
      <w:pPr>
        <w:tabs>
          <w:tab w:val="left" w:leader="none" w:pos="1247"/>
        </w:tabs>
        <w:spacing w:after="0" w:before="0" w:line="240" w:lineRule="auto"/>
        <w:jc w:val="center"/>
        <w:rPr>
          <w:rFonts w:ascii="Tahoma" w:cs="Tahoma" w:eastAsia="Tahoma" w:hAnsi="Tahoma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247"/>
        </w:tabs>
        <w:spacing w:after="0" w:before="0" w:line="240" w:lineRule="auto"/>
        <w:jc w:val="center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CONTROLE DE FREQUÊNCIA DE BOLSISTA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247"/>
        </w:tabs>
        <w:spacing w:after="0" w:before="0" w:line="240" w:lineRule="auto"/>
        <w:jc w:val="both"/>
        <w:rPr>
          <w:rFonts w:ascii="Tahoma" w:cs="Tahoma" w:eastAsia="Tahoma" w:hAnsi="Tahoma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247"/>
        </w:tabs>
        <w:spacing w:after="0" w:before="0" w:line="240" w:lineRule="auto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247"/>
        </w:tabs>
        <w:spacing w:after="0" w:before="0" w:line="240" w:lineRule="auto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Ação de Extensão: 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Unidade Acadêmica:________________________________________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Responsável pelo acompanhamento: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Nome do bolsista: 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Mês/referência: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center"/>
        <w:tblLayout w:type="fixed"/>
        <w:tblLook w:val="0000"/>
      </w:tblPr>
      <w:tblGrid>
        <w:gridCol w:w="1242"/>
        <w:gridCol w:w="2835"/>
        <w:gridCol w:w="1418"/>
        <w:gridCol w:w="2835"/>
        <w:gridCol w:w="1276"/>
        <w:tblGridChange w:id="0">
          <w:tblGrid>
            <w:gridCol w:w="1242"/>
            <w:gridCol w:w="2835"/>
            <w:gridCol w:w="1418"/>
            <w:gridCol w:w="2835"/>
            <w:gridCol w:w="12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Hora de entrada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Hora de saída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both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.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0" w:before="0" w:line="240" w:lineRule="auto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responsável pelo acompanhamento:____________________________________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Cidade:__________________________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Data:____/_____/_______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before="0" w:line="240" w:lineRule="auto"/>
        <w:rPr>
          <w:rFonts w:ascii="Tahoma" w:cs="Tahoma" w:eastAsia="Tahoma" w:hAnsi="Tahoma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00" w:before="0" w:lineRule="auto"/>
        <w:rPr>
          <w:rFonts w:ascii="Tahoma" w:cs="Tahoma" w:eastAsia="Tahoma" w:hAnsi="Tahoma"/>
          <w:b w:val="1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1417" w:top="1417" w:left="1276" w:right="1133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-63499</wp:posOffset>
              </wp:positionV>
              <wp:extent cx="4551680" cy="61404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74923" y="3477740"/>
                        <a:ext cx="4542155" cy="6045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PRÓ-REITORIA DE EXTENSÃO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-63499</wp:posOffset>
              </wp:positionV>
              <wp:extent cx="4551680" cy="61404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51680" cy="6140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-39369</wp:posOffset>
          </wp:positionH>
          <wp:positionV relativeFrom="paragraph">
            <wp:posOffset>-48259</wp:posOffset>
          </wp:positionV>
          <wp:extent cx="1644015" cy="69342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-32" l="-9" r="-10" t="-33"/>
                  <a:stretch>
                    <a:fillRect/>
                  </a:stretch>
                </pic:blipFill>
                <pic:spPr>
                  <a:xfrm>
                    <a:off x="0" y="0"/>
                    <a:ext cx="1644015" cy="6934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9">
    <w:pPr>
      <w:spacing w:after="0" w:before="0" w:line="240" w:lineRule="auto"/>
      <w:rPr>
        <w:rFonts w:ascii="Tahoma" w:cs="Tahoma" w:eastAsia="Tahoma" w:hAnsi="Tahoma"/>
        <w:b w:val="1"/>
        <w:sz w:val="22"/>
        <w:szCs w:val="22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5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w1basicdetails">
    <w:name w:val="row1basicdetails"/>
    <w:next w:val="row1basicdetail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und" w:eastAsia="und" w:val="und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Normal1">
    <w:name w:val="Normal1"/>
    <w:next w:val="Normal1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position w:val="-1"/>
      <w:sz w:val="18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ogo">
    <w:name w:val="logo"/>
    <w:basedOn w:val="Normal"/>
    <w:next w:val="log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after="200" w:before="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Times New Roman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A6S50uzKLLwzWi83bMv8wFX9Jw==">CgMxLjA4AHIhMUdLXzJNblhDTHpndEdoQ2tJQl9aQVhCNGRweU83cFRJ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2017-06-07T13:53:00Z</dcterms:created>
  <dc:creator>Vinicius Duarte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